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26"/>
        <w:gridCol w:w="3828"/>
      </w:tblGrid>
      <w:tr w:rsidR="00917255" w:rsidRPr="00917255" w:rsidTr="007A722D">
        <w:tc>
          <w:tcPr>
            <w:tcW w:w="5726" w:type="dxa"/>
          </w:tcPr>
          <w:p w:rsidR="00917255" w:rsidRPr="00917255" w:rsidRDefault="00917255" w:rsidP="00A44288">
            <w:pPr>
              <w:pStyle w:val="Textkrper2"/>
              <w:framePr w:w="0" w:hSpace="0" w:wrap="auto" w:vAnchor="margin" w:hAnchor="text" w:xAlign="left" w:yAlign="inline"/>
              <w:spacing w:after="0"/>
              <w:rPr>
                <w:rFonts w:ascii="Open Sans" w:hAnsi="Open Sans" w:cs="Open Sans"/>
                <w:color w:val="000000"/>
                <w:sz w:val="18"/>
                <w:szCs w:val="18"/>
                <w:lang w:val="de-AT"/>
              </w:rPr>
            </w:pPr>
          </w:p>
        </w:tc>
        <w:tc>
          <w:tcPr>
            <w:tcW w:w="3828" w:type="dxa"/>
          </w:tcPr>
          <w:p w:rsidR="00917255" w:rsidRPr="00917255" w:rsidRDefault="00E67E4E" w:rsidP="00E67E4E">
            <w:pPr>
              <w:pStyle w:val="Textkrper2"/>
              <w:framePr w:w="0" w:hSpace="0" w:wrap="auto" w:vAnchor="margin" w:hAnchor="text" w:xAlign="left" w:yAlign="inline"/>
              <w:spacing w:after="0"/>
              <w:jc w:val="left"/>
              <w:rPr>
                <w:rFonts w:ascii="Open Sans" w:hAnsi="Open Sans" w:cs="Open Sans"/>
                <w:color w:val="000000"/>
                <w:sz w:val="16"/>
                <w:szCs w:val="18"/>
                <w:lang w:val="de-AT"/>
              </w:rPr>
            </w:pPr>
            <w:r>
              <w:rPr>
                <w:rFonts w:ascii="Open Sans" w:hAnsi="Open Sans" w:cs="Open Sans"/>
                <w:color w:val="000000"/>
                <w:sz w:val="18"/>
                <w:szCs w:val="18"/>
                <w:lang w:val="de-AT"/>
              </w:rPr>
              <w:t>Österreich</w:t>
            </w:r>
            <w:r>
              <w:rPr>
                <w:rFonts w:ascii="Open Sans" w:hAnsi="Open Sans" w:cs="Open Sans"/>
                <w:color w:val="000000"/>
                <w:sz w:val="18"/>
                <w:szCs w:val="18"/>
                <w:lang w:val="de-AT"/>
              </w:rPr>
              <w:t xml:space="preserve">ischer Verband </w:t>
            </w:r>
            <w:r w:rsidR="000A3F99">
              <w:rPr>
                <w:rFonts w:ascii="Open Sans" w:hAnsi="Open Sans" w:cs="Open Sans"/>
                <w:color w:val="000000"/>
                <w:sz w:val="18"/>
                <w:szCs w:val="18"/>
                <w:lang w:val="de-AT"/>
              </w:rPr>
              <w:t xml:space="preserve">Creditreform </w:t>
            </w:r>
          </w:p>
        </w:tc>
      </w:tr>
      <w:tr w:rsidR="00917255" w:rsidRPr="00917255" w:rsidTr="007A722D">
        <w:tc>
          <w:tcPr>
            <w:tcW w:w="5726" w:type="dxa"/>
          </w:tcPr>
          <w:p w:rsidR="00917255" w:rsidRPr="00917255" w:rsidRDefault="00917255" w:rsidP="00A44288">
            <w:pPr>
              <w:rPr>
                <w:rFonts w:cs="Open Sans"/>
                <w:sz w:val="18"/>
                <w:szCs w:val="18"/>
                <w:lang w:val="de-AT"/>
              </w:rPr>
            </w:pPr>
          </w:p>
        </w:tc>
        <w:tc>
          <w:tcPr>
            <w:tcW w:w="3828" w:type="dxa"/>
          </w:tcPr>
          <w:p w:rsidR="00917255" w:rsidRPr="00917255" w:rsidRDefault="00E67E4E" w:rsidP="00B14477">
            <w:pPr>
              <w:jc w:val="left"/>
              <w:rPr>
                <w:rFonts w:cs="Open Sans"/>
                <w:sz w:val="16"/>
                <w:szCs w:val="16"/>
                <w:lang w:val="de-AT"/>
              </w:rPr>
            </w:pPr>
            <w:r>
              <w:rPr>
                <w:rFonts w:cs="Open Sans"/>
                <w:sz w:val="16"/>
                <w:szCs w:val="16"/>
                <w:lang w:val="de-AT"/>
              </w:rPr>
              <w:t>Nussdorfer Lände 23</w:t>
            </w:r>
            <w:bookmarkStart w:id="0" w:name="_GoBack"/>
            <w:bookmarkEnd w:id="0"/>
            <w:r w:rsidR="00917255" w:rsidRPr="00917255">
              <w:rPr>
                <w:rFonts w:cs="Open Sans"/>
                <w:sz w:val="16"/>
                <w:szCs w:val="16"/>
                <w:lang w:val="de-AT"/>
              </w:rPr>
              <w:t>, 1190 Wien</w:t>
            </w:r>
          </w:p>
        </w:tc>
      </w:tr>
      <w:tr w:rsidR="00917255" w:rsidRPr="00917255" w:rsidTr="007A722D">
        <w:tc>
          <w:tcPr>
            <w:tcW w:w="5726" w:type="dxa"/>
          </w:tcPr>
          <w:p w:rsidR="00917255" w:rsidRPr="00917255" w:rsidRDefault="00917255" w:rsidP="00A44288">
            <w:pPr>
              <w:tabs>
                <w:tab w:val="left" w:pos="709"/>
              </w:tabs>
              <w:rPr>
                <w:rFonts w:cs="Open Sans"/>
                <w:sz w:val="18"/>
                <w:szCs w:val="18"/>
                <w:lang w:val="de-AT"/>
              </w:rPr>
            </w:pPr>
          </w:p>
        </w:tc>
        <w:tc>
          <w:tcPr>
            <w:tcW w:w="3828" w:type="dxa"/>
          </w:tcPr>
          <w:p w:rsidR="00917255" w:rsidRPr="00917255" w:rsidRDefault="00917255" w:rsidP="00B14477">
            <w:pPr>
              <w:tabs>
                <w:tab w:val="left" w:pos="709"/>
              </w:tabs>
              <w:jc w:val="left"/>
              <w:rPr>
                <w:rFonts w:cs="Open Sans"/>
                <w:sz w:val="16"/>
                <w:szCs w:val="16"/>
                <w:lang w:val="de-AT"/>
              </w:rPr>
            </w:pPr>
            <w:r w:rsidRPr="00917255">
              <w:rPr>
                <w:rFonts w:cs="Open Sans"/>
                <w:sz w:val="16"/>
                <w:szCs w:val="16"/>
                <w:lang w:val="de-AT"/>
              </w:rPr>
              <w:t>Telefon</w:t>
            </w:r>
            <w:r w:rsidRPr="00917255">
              <w:rPr>
                <w:rFonts w:cs="Open Sans"/>
                <w:sz w:val="16"/>
                <w:szCs w:val="16"/>
                <w:lang w:val="de-AT"/>
              </w:rPr>
              <w:tab/>
              <w:t>+43 1 218 62 20-551</w:t>
            </w:r>
          </w:p>
        </w:tc>
      </w:tr>
      <w:tr w:rsidR="00917255" w:rsidRPr="00917255" w:rsidTr="007A722D">
        <w:tc>
          <w:tcPr>
            <w:tcW w:w="5726" w:type="dxa"/>
          </w:tcPr>
          <w:p w:rsidR="00917255" w:rsidRPr="00917255" w:rsidRDefault="00917255" w:rsidP="00A44288">
            <w:pPr>
              <w:tabs>
                <w:tab w:val="left" w:pos="709"/>
              </w:tabs>
              <w:rPr>
                <w:rFonts w:cs="Open Sans"/>
                <w:sz w:val="18"/>
                <w:szCs w:val="18"/>
                <w:lang w:val="de-AT"/>
              </w:rPr>
            </w:pPr>
          </w:p>
        </w:tc>
        <w:tc>
          <w:tcPr>
            <w:tcW w:w="3828" w:type="dxa"/>
          </w:tcPr>
          <w:p w:rsidR="00917255" w:rsidRPr="00917255" w:rsidRDefault="00917255" w:rsidP="00B14477">
            <w:pPr>
              <w:tabs>
                <w:tab w:val="left" w:pos="709"/>
              </w:tabs>
              <w:jc w:val="left"/>
              <w:rPr>
                <w:rFonts w:cs="Open Sans"/>
                <w:sz w:val="16"/>
                <w:szCs w:val="16"/>
                <w:lang w:val="de-AT"/>
              </w:rPr>
            </w:pPr>
            <w:r w:rsidRPr="00917255">
              <w:rPr>
                <w:rFonts w:cs="Open Sans"/>
                <w:sz w:val="16"/>
                <w:szCs w:val="16"/>
                <w:lang w:val="de-AT"/>
              </w:rPr>
              <w:t>Telefax</w:t>
            </w:r>
            <w:r w:rsidRPr="00917255">
              <w:rPr>
                <w:rFonts w:cs="Open Sans"/>
                <w:sz w:val="16"/>
                <w:szCs w:val="16"/>
                <w:lang w:val="de-AT"/>
              </w:rPr>
              <w:tab/>
              <w:t>+43 1 218 62 20-199</w:t>
            </w:r>
          </w:p>
        </w:tc>
      </w:tr>
      <w:tr w:rsidR="00917255" w:rsidRPr="00917255" w:rsidTr="007A722D">
        <w:tc>
          <w:tcPr>
            <w:tcW w:w="5726" w:type="dxa"/>
          </w:tcPr>
          <w:p w:rsidR="00917255" w:rsidRPr="00917255" w:rsidRDefault="00917255" w:rsidP="00A44288">
            <w:pPr>
              <w:tabs>
                <w:tab w:val="left" w:pos="851"/>
              </w:tabs>
              <w:rPr>
                <w:rFonts w:cs="Open Sans"/>
                <w:color w:val="000000"/>
                <w:sz w:val="18"/>
                <w:szCs w:val="18"/>
                <w:lang w:val="de-AT"/>
              </w:rPr>
            </w:pPr>
          </w:p>
        </w:tc>
        <w:tc>
          <w:tcPr>
            <w:tcW w:w="3828" w:type="dxa"/>
          </w:tcPr>
          <w:p w:rsidR="00917255" w:rsidRPr="00917255" w:rsidRDefault="00917255" w:rsidP="00B14477">
            <w:pPr>
              <w:tabs>
                <w:tab w:val="left" w:pos="851"/>
              </w:tabs>
              <w:jc w:val="left"/>
              <w:rPr>
                <w:rFonts w:cs="Open Sans"/>
                <w:color w:val="000000"/>
                <w:sz w:val="16"/>
                <w:szCs w:val="16"/>
                <w:lang w:val="de-AT"/>
              </w:rPr>
            </w:pPr>
            <w:r w:rsidRPr="00917255">
              <w:rPr>
                <w:rFonts w:cs="Open Sans"/>
                <w:color w:val="000000"/>
                <w:sz w:val="16"/>
                <w:szCs w:val="16"/>
                <w:lang w:val="de-AT"/>
              </w:rPr>
              <w:t>www.creditreform.at</w:t>
            </w:r>
          </w:p>
        </w:tc>
      </w:tr>
    </w:tbl>
    <w:p w:rsidR="00B148D1" w:rsidRDefault="00BA468A" w:rsidP="006D5F8C">
      <w:pPr>
        <w:tabs>
          <w:tab w:val="left" w:pos="5670"/>
        </w:tabs>
        <w:rPr>
          <w:rFonts w:cs="Open Sans"/>
          <w:sz w:val="16"/>
          <w:szCs w:val="16"/>
          <w:lang w:val="de-AT"/>
        </w:rPr>
      </w:pPr>
      <w:r>
        <w:rPr>
          <w:rFonts w:cs="Open Sans"/>
          <w:lang w:val="de-AT"/>
        </w:rPr>
        <w:tab/>
        <w:t xml:space="preserve"> </w:t>
      </w:r>
      <w:r w:rsidR="00917255" w:rsidRPr="00334197">
        <w:rPr>
          <w:rFonts w:cs="Open Sans"/>
          <w:sz w:val="16"/>
          <w:szCs w:val="16"/>
          <w:lang w:val="de-AT"/>
        </w:rPr>
        <w:t xml:space="preserve">Wien, </w:t>
      </w:r>
      <w:r w:rsidR="00996BAA">
        <w:rPr>
          <w:rFonts w:cs="Open Sans"/>
          <w:sz w:val="16"/>
          <w:szCs w:val="16"/>
          <w:lang w:val="de-AT"/>
        </w:rPr>
        <w:t>18</w:t>
      </w:r>
      <w:r w:rsidR="00917255" w:rsidRPr="00334197">
        <w:rPr>
          <w:rFonts w:cs="Open Sans"/>
          <w:sz w:val="16"/>
          <w:szCs w:val="16"/>
          <w:lang w:val="de-AT"/>
        </w:rPr>
        <w:t xml:space="preserve">. </w:t>
      </w:r>
      <w:r w:rsidR="00996BAA">
        <w:rPr>
          <w:rFonts w:cs="Open Sans"/>
          <w:sz w:val="16"/>
          <w:szCs w:val="16"/>
          <w:lang w:val="de-AT"/>
        </w:rPr>
        <w:t>Dezember 2024</w:t>
      </w:r>
    </w:p>
    <w:p w:rsidR="006D5F8C" w:rsidRDefault="006D5F8C" w:rsidP="006D5F8C">
      <w:pPr>
        <w:tabs>
          <w:tab w:val="left" w:pos="5670"/>
        </w:tabs>
        <w:rPr>
          <w:lang w:val="de-AT"/>
        </w:rPr>
      </w:pPr>
    </w:p>
    <w:p w:rsidR="009B4393" w:rsidRPr="00917255" w:rsidRDefault="009B4393" w:rsidP="00917255">
      <w:pPr>
        <w:rPr>
          <w:lang w:val="de-AT"/>
        </w:rPr>
      </w:pPr>
    </w:p>
    <w:p w:rsidR="00A878A9" w:rsidRPr="00442140" w:rsidRDefault="000A3F99" w:rsidP="00442140">
      <w:pPr>
        <w:pStyle w:val="Titel"/>
        <w:rPr>
          <w:color w:val="00B0F0"/>
        </w:rPr>
      </w:pPr>
      <w:r w:rsidRPr="00D82180">
        <w:rPr>
          <w:color w:val="00B0F0"/>
        </w:rPr>
        <w:t xml:space="preserve">Creditreform KMU-Umfrage Österreich, </w:t>
      </w:r>
      <w:r w:rsidR="00996BAA">
        <w:rPr>
          <w:color w:val="00B0F0"/>
        </w:rPr>
        <w:t>2</w:t>
      </w:r>
      <w:r w:rsidR="006D5F8C">
        <w:rPr>
          <w:color w:val="00B0F0"/>
        </w:rPr>
        <w:t xml:space="preserve">. Halbjahr </w:t>
      </w:r>
      <w:r w:rsidRPr="00D82180">
        <w:rPr>
          <w:color w:val="00B0F0"/>
        </w:rPr>
        <w:t>20</w:t>
      </w:r>
      <w:r w:rsidR="00290386">
        <w:rPr>
          <w:color w:val="00B0F0"/>
        </w:rPr>
        <w:t>2</w:t>
      </w:r>
      <w:r w:rsidR="006D5F8C">
        <w:rPr>
          <w:color w:val="00B0F0"/>
        </w:rPr>
        <w:t>4</w:t>
      </w:r>
      <w:r w:rsidRPr="00D82180">
        <w:rPr>
          <w:color w:val="00B0F0"/>
        </w:rPr>
        <w:t>:</w:t>
      </w:r>
    </w:p>
    <w:p w:rsidR="000A3F99" w:rsidRPr="00442140" w:rsidRDefault="00442140" w:rsidP="00B148D1">
      <w:pPr>
        <w:rPr>
          <w:b/>
          <w:color w:val="00B0F0"/>
          <w:sz w:val="28"/>
          <w:szCs w:val="28"/>
        </w:rPr>
      </w:pPr>
      <w:r w:rsidRPr="00442140">
        <w:rPr>
          <w:b/>
          <w:color w:val="00B0F0"/>
          <w:sz w:val="28"/>
          <w:szCs w:val="28"/>
        </w:rPr>
        <w:t>Wirtschaftskrise setzt sich fort</w:t>
      </w:r>
    </w:p>
    <w:p w:rsidR="00442140" w:rsidRPr="005E2A50" w:rsidRDefault="00442140" w:rsidP="00B148D1">
      <w:pPr>
        <w:rPr>
          <w:b/>
          <w:color w:val="00B0F0"/>
          <w:sz w:val="22"/>
          <w:szCs w:val="22"/>
        </w:rPr>
      </w:pPr>
    </w:p>
    <w:p w:rsidR="00697F78" w:rsidRPr="00697F78" w:rsidRDefault="00697F78" w:rsidP="00697F78">
      <w:pPr>
        <w:rPr>
          <w:rFonts w:cs="Open Sans"/>
          <w:b/>
          <w:bCs/>
          <w:color w:val="00B0F0"/>
          <w:sz w:val="22"/>
          <w:szCs w:val="22"/>
        </w:rPr>
      </w:pPr>
      <w:r w:rsidRPr="00697F78">
        <w:rPr>
          <w:rFonts w:cs="Open Sans"/>
          <w:b/>
          <w:bCs/>
          <w:color w:val="00B0F0"/>
          <w:sz w:val="22"/>
          <w:szCs w:val="22"/>
        </w:rPr>
        <w:t>- Das Geschäftsklima-Barometer der heimischen KMU befindet sich weiter im Sinkflug.</w:t>
      </w:r>
    </w:p>
    <w:p w:rsidR="00697F78" w:rsidRPr="00697F78" w:rsidRDefault="00697F78" w:rsidP="00697F78">
      <w:pPr>
        <w:rPr>
          <w:rFonts w:cs="Open Sans"/>
          <w:b/>
          <w:bCs/>
          <w:color w:val="00B0F0"/>
          <w:sz w:val="22"/>
          <w:szCs w:val="22"/>
        </w:rPr>
      </w:pPr>
      <w:r w:rsidRPr="00697F78">
        <w:rPr>
          <w:rFonts w:cs="Open Sans"/>
          <w:b/>
          <w:bCs/>
          <w:color w:val="00B0F0"/>
          <w:sz w:val="22"/>
          <w:szCs w:val="22"/>
        </w:rPr>
        <w:t>- Die Auftrags- und Umsatzlage ist im Keller, die aktuelle Auftragsentwicklung nach wie vor stark negativ.</w:t>
      </w:r>
    </w:p>
    <w:p w:rsidR="00697F78" w:rsidRPr="00697F78" w:rsidRDefault="00697F78" w:rsidP="00697F78">
      <w:pPr>
        <w:rPr>
          <w:rFonts w:cs="Open Sans"/>
          <w:b/>
          <w:bCs/>
          <w:color w:val="00B0F0"/>
          <w:sz w:val="22"/>
          <w:szCs w:val="22"/>
        </w:rPr>
      </w:pPr>
      <w:r w:rsidRPr="00697F78">
        <w:rPr>
          <w:rFonts w:cs="Open Sans"/>
          <w:b/>
          <w:bCs/>
          <w:color w:val="00B0F0"/>
          <w:sz w:val="22"/>
          <w:szCs w:val="22"/>
        </w:rPr>
        <w:t>- Die Ertragslage ist bei 53% der Unternehmen gesunken; mangels Liquidität steigen die Insolvenzen auf ein Rekordniveau.</w:t>
      </w:r>
    </w:p>
    <w:p w:rsidR="00697F78" w:rsidRPr="00697F78" w:rsidRDefault="00697F78" w:rsidP="00697F78">
      <w:pPr>
        <w:rPr>
          <w:rFonts w:cs="Open Sans"/>
          <w:b/>
          <w:bCs/>
          <w:color w:val="00B0F0"/>
          <w:sz w:val="22"/>
          <w:szCs w:val="22"/>
        </w:rPr>
      </w:pPr>
      <w:r w:rsidRPr="00697F78">
        <w:rPr>
          <w:rFonts w:cs="Open Sans"/>
          <w:b/>
          <w:bCs/>
          <w:color w:val="00B0F0"/>
          <w:sz w:val="22"/>
          <w:szCs w:val="22"/>
        </w:rPr>
        <w:t>- 29% haben Personal abgebaut. Der Fachkräftemangel bleibt aber bestehen.</w:t>
      </w:r>
    </w:p>
    <w:p w:rsidR="00697F78" w:rsidRPr="00697F78" w:rsidRDefault="00697F78" w:rsidP="00697F78">
      <w:pPr>
        <w:rPr>
          <w:rFonts w:cs="Open Sans"/>
          <w:b/>
          <w:bCs/>
          <w:color w:val="00B0F0"/>
          <w:sz w:val="22"/>
          <w:szCs w:val="22"/>
        </w:rPr>
      </w:pPr>
      <w:r w:rsidRPr="00697F78">
        <w:rPr>
          <w:rFonts w:cs="Open Sans"/>
          <w:b/>
          <w:bCs/>
          <w:color w:val="00B0F0"/>
          <w:sz w:val="22"/>
          <w:szCs w:val="22"/>
        </w:rPr>
        <w:t xml:space="preserve">- Die Angebotspreise sinken weiter. </w:t>
      </w:r>
      <w:r w:rsidR="00463914">
        <w:rPr>
          <w:rFonts w:cs="Open Sans"/>
          <w:b/>
          <w:bCs/>
          <w:color w:val="00B0F0"/>
          <w:sz w:val="22"/>
          <w:szCs w:val="22"/>
        </w:rPr>
        <w:t xml:space="preserve">Die </w:t>
      </w:r>
      <w:r w:rsidRPr="00697F78">
        <w:rPr>
          <w:rFonts w:cs="Open Sans"/>
          <w:b/>
          <w:bCs/>
          <w:color w:val="00B0F0"/>
          <w:sz w:val="22"/>
          <w:szCs w:val="22"/>
        </w:rPr>
        <w:t>Inflation schein</w:t>
      </w:r>
      <w:r w:rsidR="00463914">
        <w:rPr>
          <w:rFonts w:cs="Open Sans"/>
          <w:b/>
          <w:bCs/>
          <w:color w:val="00B0F0"/>
          <w:sz w:val="22"/>
          <w:szCs w:val="22"/>
        </w:rPr>
        <w:t>t</w:t>
      </w:r>
      <w:r w:rsidRPr="00697F78">
        <w:rPr>
          <w:rFonts w:cs="Open Sans"/>
          <w:b/>
          <w:bCs/>
          <w:color w:val="00B0F0"/>
          <w:sz w:val="22"/>
          <w:szCs w:val="22"/>
        </w:rPr>
        <w:t xml:space="preserve"> eingedämmt zu sein.</w:t>
      </w:r>
    </w:p>
    <w:p w:rsidR="00697F78" w:rsidRPr="00697F78" w:rsidRDefault="00697F78" w:rsidP="00697F78">
      <w:pPr>
        <w:rPr>
          <w:rFonts w:cs="Open Sans"/>
          <w:b/>
          <w:bCs/>
          <w:color w:val="00B0F0"/>
          <w:sz w:val="22"/>
          <w:szCs w:val="22"/>
        </w:rPr>
      </w:pPr>
      <w:r w:rsidRPr="00697F78">
        <w:rPr>
          <w:rFonts w:cs="Open Sans"/>
          <w:b/>
          <w:bCs/>
          <w:color w:val="00B0F0"/>
          <w:sz w:val="22"/>
          <w:szCs w:val="22"/>
        </w:rPr>
        <w:t xml:space="preserve">- Nicht einmal ein Drittel der Unternehmen will investieren. </w:t>
      </w:r>
    </w:p>
    <w:p w:rsidR="00697F78" w:rsidRPr="00697F78" w:rsidRDefault="00697F78" w:rsidP="00697F78">
      <w:pPr>
        <w:rPr>
          <w:rFonts w:cs="Open Sans"/>
          <w:b/>
          <w:bCs/>
          <w:color w:val="00B0F0"/>
          <w:sz w:val="22"/>
          <w:szCs w:val="22"/>
        </w:rPr>
      </w:pPr>
      <w:r w:rsidRPr="00697F78">
        <w:rPr>
          <w:rFonts w:cs="Open Sans"/>
          <w:b/>
          <w:bCs/>
          <w:color w:val="00B0F0"/>
          <w:sz w:val="22"/>
          <w:szCs w:val="22"/>
        </w:rPr>
        <w:t>- 54% bewerten die Wirtschaftspolitik kritisch.</w:t>
      </w:r>
    </w:p>
    <w:p w:rsidR="00697F78" w:rsidRPr="00697F78" w:rsidRDefault="00697F78" w:rsidP="00697F78">
      <w:pPr>
        <w:rPr>
          <w:rFonts w:cs="Open Sans"/>
          <w:b/>
          <w:bCs/>
          <w:color w:val="00B0F0"/>
          <w:sz w:val="22"/>
          <w:szCs w:val="22"/>
        </w:rPr>
      </w:pPr>
      <w:r w:rsidRPr="00697F78">
        <w:rPr>
          <w:rFonts w:cs="Open Sans"/>
          <w:b/>
          <w:bCs/>
          <w:color w:val="00B0F0"/>
          <w:sz w:val="22"/>
          <w:szCs w:val="22"/>
        </w:rPr>
        <w:t>- 71% fordern eine</w:t>
      </w:r>
      <w:r>
        <w:rPr>
          <w:rFonts w:cs="Open Sans"/>
          <w:b/>
          <w:bCs/>
          <w:color w:val="00B0F0"/>
          <w:sz w:val="22"/>
          <w:szCs w:val="22"/>
        </w:rPr>
        <w:t>n</w:t>
      </w:r>
      <w:r w:rsidRPr="00697F78">
        <w:rPr>
          <w:rFonts w:cs="Open Sans"/>
          <w:b/>
          <w:bCs/>
          <w:color w:val="00B0F0"/>
          <w:sz w:val="22"/>
          <w:szCs w:val="22"/>
        </w:rPr>
        <w:t xml:space="preserve"> Bürokratieabbau.</w:t>
      </w:r>
    </w:p>
    <w:p w:rsidR="00FA54E9" w:rsidRPr="00697F78" w:rsidRDefault="00FA54E9" w:rsidP="005278B8">
      <w:pPr>
        <w:rPr>
          <w:rFonts w:cs="Open Sans"/>
          <w:color w:val="00B0F0"/>
          <w:sz w:val="22"/>
          <w:szCs w:val="22"/>
        </w:rPr>
      </w:pPr>
    </w:p>
    <w:p w:rsidR="00442140" w:rsidRPr="00996BAA" w:rsidRDefault="00442140" w:rsidP="00442140">
      <w:pPr>
        <w:rPr>
          <w:rFonts w:cs="Open Sans"/>
          <w:b/>
          <w:sz w:val="22"/>
          <w:szCs w:val="22"/>
        </w:rPr>
      </w:pPr>
      <w:r w:rsidRPr="00996BAA">
        <w:rPr>
          <w:rFonts w:cs="Open Sans"/>
          <w:b/>
          <w:sz w:val="22"/>
          <w:szCs w:val="22"/>
        </w:rPr>
        <w:t>Wirtschaftskrise im Mittelstand verschärft sich</w:t>
      </w:r>
    </w:p>
    <w:p w:rsidR="00996BAA" w:rsidRDefault="00996BAA" w:rsidP="00996BAA">
      <w:pPr>
        <w:rPr>
          <w:rFonts w:cs="Open Sans"/>
          <w:sz w:val="22"/>
          <w:szCs w:val="22"/>
        </w:rPr>
      </w:pPr>
      <w:r w:rsidRPr="004E4BD9">
        <w:rPr>
          <w:rFonts w:cs="Open Sans"/>
          <w:sz w:val="22"/>
          <w:szCs w:val="22"/>
        </w:rPr>
        <w:t>Die Rezession trifft den Mittelstand mit voller Wucht. Viele Unternehmen verzeichne</w:t>
      </w:r>
      <w:r>
        <w:rPr>
          <w:rFonts w:cs="Open Sans"/>
          <w:sz w:val="22"/>
          <w:szCs w:val="22"/>
        </w:rPr>
        <w:t>te</w:t>
      </w:r>
      <w:r w:rsidRPr="004E4BD9">
        <w:rPr>
          <w:rFonts w:cs="Open Sans"/>
          <w:sz w:val="22"/>
          <w:szCs w:val="22"/>
        </w:rPr>
        <w:t>n massive Auftrags- und Umsatzverluste und reagier</w:t>
      </w:r>
      <w:r>
        <w:rPr>
          <w:rFonts w:cs="Open Sans"/>
          <w:sz w:val="22"/>
          <w:szCs w:val="22"/>
        </w:rPr>
        <w:t>t</w:t>
      </w:r>
      <w:r w:rsidRPr="004E4BD9">
        <w:rPr>
          <w:rFonts w:cs="Open Sans"/>
          <w:sz w:val="22"/>
          <w:szCs w:val="22"/>
        </w:rPr>
        <w:t>en mit Personalabbau. Dies geht aus der aktuellen Herbststudie der Creditreform Wirtschaftsforschung hervor</w:t>
      </w:r>
      <w:r>
        <w:rPr>
          <w:rFonts w:cs="Open Sans"/>
          <w:sz w:val="22"/>
          <w:szCs w:val="22"/>
        </w:rPr>
        <w:t>, in welcher rund 1.400 österreichische KMU befragt wurden</w:t>
      </w:r>
      <w:r w:rsidRPr="004E4BD9">
        <w:rPr>
          <w:rFonts w:cs="Open Sans"/>
          <w:sz w:val="22"/>
          <w:szCs w:val="22"/>
        </w:rPr>
        <w:t>. Der Studie zufolge stehen mittelständische Unternehmen derzeit unter erheblichem Druck und sind stark verunsichert. Die Investitionsbereitschaft hat einen historischen Tiefpunkt erreicht. „Die Wirtschaftskrise ist tiefer und wird länger anhalten als erwartet. 2024 wird somit das zweite Jahr in Folge sein, in dem die Wirtschaftsleistung schrumpft“, fasst Gerhar</w:t>
      </w:r>
      <w:r>
        <w:rPr>
          <w:rFonts w:cs="Open Sans"/>
          <w:sz w:val="22"/>
          <w:szCs w:val="22"/>
        </w:rPr>
        <w:t>d Weinhofer, Geschäftsführer vom</w:t>
      </w:r>
      <w:r w:rsidRPr="004E4BD9">
        <w:rPr>
          <w:rFonts w:cs="Open Sans"/>
          <w:sz w:val="22"/>
          <w:szCs w:val="22"/>
        </w:rPr>
        <w:t xml:space="preserve"> Österreich</w:t>
      </w:r>
      <w:r>
        <w:rPr>
          <w:rFonts w:cs="Open Sans"/>
          <w:sz w:val="22"/>
          <w:szCs w:val="22"/>
        </w:rPr>
        <w:t>ischen Verband</w:t>
      </w:r>
      <w:r w:rsidRPr="004E4BD9">
        <w:rPr>
          <w:rFonts w:cs="Open Sans"/>
          <w:sz w:val="22"/>
          <w:szCs w:val="22"/>
        </w:rPr>
        <w:t xml:space="preserve"> Creditreform, die Ergebnisse zusammen.</w:t>
      </w:r>
    </w:p>
    <w:p w:rsidR="00996BAA" w:rsidRPr="004E4BD9" w:rsidRDefault="00996BAA" w:rsidP="00996BAA">
      <w:pPr>
        <w:rPr>
          <w:rFonts w:cs="Open Sans"/>
          <w:sz w:val="22"/>
          <w:szCs w:val="22"/>
        </w:rPr>
      </w:pPr>
    </w:p>
    <w:p w:rsidR="00996BAA" w:rsidRPr="004E4BD9" w:rsidRDefault="00996BAA" w:rsidP="00996BAA">
      <w:pPr>
        <w:rPr>
          <w:rFonts w:cs="Open Sans"/>
          <w:sz w:val="22"/>
          <w:szCs w:val="22"/>
        </w:rPr>
      </w:pPr>
      <w:r w:rsidRPr="004E4BD9">
        <w:rPr>
          <w:rFonts w:cs="Open Sans"/>
          <w:sz w:val="22"/>
          <w:szCs w:val="22"/>
        </w:rPr>
        <w:t>Das Creditreform Klimabarometer für den Mittelstand, basierend auf den Umfrageergebnissen, bleibt weiterhin deutlich im negativen Bereich. Der aktuelle Wert von minus 9,9 Punkten (Vorjahr: minus 4,9 Punkte) verdeutlicht eine weitere Verschlechterung der Wirtschaftslage. Besonders betroffen sind das Verarbeitende Gewerbe sowie der Handel.</w:t>
      </w:r>
    </w:p>
    <w:p w:rsidR="00996BAA" w:rsidRPr="004C0C5A" w:rsidRDefault="00996BAA" w:rsidP="00996BAA">
      <w:pPr>
        <w:rPr>
          <w:rFonts w:cs="Open Sans"/>
          <w:sz w:val="22"/>
          <w:szCs w:val="22"/>
        </w:rPr>
      </w:pPr>
    </w:p>
    <w:p w:rsidR="00996BAA" w:rsidRPr="00996BAA" w:rsidRDefault="00996BAA" w:rsidP="00996BAA">
      <w:pPr>
        <w:rPr>
          <w:rFonts w:cs="Open Sans"/>
          <w:b/>
          <w:sz w:val="22"/>
          <w:szCs w:val="22"/>
        </w:rPr>
      </w:pPr>
      <w:r w:rsidRPr="00996BAA">
        <w:rPr>
          <w:rFonts w:cs="Open Sans"/>
          <w:b/>
          <w:sz w:val="22"/>
          <w:szCs w:val="22"/>
        </w:rPr>
        <w:t xml:space="preserve">Flaute im Sommerhalbjahr </w:t>
      </w:r>
    </w:p>
    <w:p w:rsidR="00996BAA" w:rsidRDefault="00996BAA" w:rsidP="00996BAA">
      <w:pPr>
        <w:rPr>
          <w:rFonts w:cs="Open Sans"/>
          <w:sz w:val="22"/>
          <w:szCs w:val="22"/>
        </w:rPr>
      </w:pPr>
      <w:r w:rsidRPr="004E4BD9">
        <w:rPr>
          <w:rFonts w:cs="Open Sans"/>
          <w:sz w:val="22"/>
          <w:szCs w:val="22"/>
        </w:rPr>
        <w:t xml:space="preserve">Im Zuge der Rezession erlitten die Unternehmen in den vergangenen sechs Monaten erhebliche Auftrags- und Umsatzeinbußen. Fast jeder zweite Befragte (49,2 Prozent) meldete rückläufige Aufträge, während nur 11,0 Prozent ein Auftragsplus verbuchen konnten (Vorjahr: 12,4 Prozent). Auch die Umsatzentwicklung verlief alarmierend: 43,2 Prozent der Unternehmen verzeichneten </w:t>
      </w:r>
      <w:r>
        <w:rPr>
          <w:rFonts w:cs="Open Sans"/>
          <w:sz w:val="22"/>
          <w:szCs w:val="22"/>
        </w:rPr>
        <w:t xml:space="preserve">hier </w:t>
      </w:r>
      <w:r w:rsidRPr="004E4BD9">
        <w:rPr>
          <w:rFonts w:cs="Open Sans"/>
          <w:sz w:val="22"/>
          <w:szCs w:val="22"/>
        </w:rPr>
        <w:t>Rückgänge (Vorjahr: 38,9 Prozent). Lediglich 16,7 Prozent der Befragten erzielten Umsatzgewinne (Vorjahr: 20,5 Prozent). Dies stellt die schlechteste Umsatzentwicklung seit 25 Jahren dar.</w:t>
      </w:r>
    </w:p>
    <w:p w:rsidR="00996BAA" w:rsidRPr="004E4BD9" w:rsidRDefault="00996BAA" w:rsidP="00996BAA">
      <w:pPr>
        <w:rPr>
          <w:rFonts w:cs="Open Sans"/>
          <w:sz w:val="22"/>
          <w:szCs w:val="22"/>
        </w:rPr>
      </w:pPr>
    </w:p>
    <w:p w:rsidR="00697F78" w:rsidRDefault="00697F78" w:rsidP="00996BAA">
      <w:pPr>
        <w:rPr>
          <w:rFonts w:cs="Open Sans"/>
          <w:sz w:val="22"/>
          <w:szCs w:val="22"/>
        </w:rPr>
      </w:pPr>
    </w:p>
    <w:p w:rsidR="00996BAA" w:rsidRPr="004E4BD9" w:rsidRDefault="00996BAA" w:rsidP="00996BAA">
      <w:pPr>
        <w:rPr>
          <w:rFonts w:cs="Open Sans"/>
          <w:sz w:val="22"/>
          <w:szCs w:val="22"/>
        </w:rPr>
      </w:pPr>
      <w:r w:rsidRPr="004E4BD9">
        <w:rPr>
          <w:rFonts w:cs="Open Sans"/>
          <w:sz w:val="22"/>
          <w:szCs w:val="22"/>
        </w:rPr>
        <w:t xml:space="preserve">„Die Prognosen der Mittelständler für die kommenden Monate bleiben düster. Eine schnelle und deutliche Erholung der Konjunktur ist nicht in Sicht“, sagt Weinhofer. Es gebe jedoch etwas Hoffnung, da sich die Auftragserwartungen langsam aufhellen. Die Talsohle der Rezession könnte somit Ende 2024 oder Anfang 2025 erreicht werden. Derzeit rechnen jedoch nur 14,6 Prozent der Befragten </w:t>
      </w:r>
      <w:r>
        <w:rPr>
          <w:rFonts w:cs="Open Sans"/>
          <w:sz w:val="22"/>
          <w:szCs w:val="22"/>
        </w:rPr>
        <w:t xml:space="preserve">im nächsten Halbjahr </w:t>
      </w:r>
      <w:r w:rsidRPr="004E4BD9">
        <w:rPr>
          <w:rFonts w:cs="Open Sans"/>
          <w:sz w:val="22"/>
          <w:szCs w:val="22"/>
        </w:rPr>
        <w:t>mit einem Umsatzplus, während 36,4 Prozent weiterhin von Rückgängen ausgehen. Besonders pessimistisch zeigt sich die Bauwirtschaft.</w:t>
      </w:r>
    </w:p>
    <w:p w:rsidR="00996BAA" w:rsidRDefault="00996BAA" w:rsidP="00996BAA">
      <w:pPr>
        <w:rPr>
          <w:rFonts w:cs="Open Sans"/>
          <w:sz w:val="22"/>
          <w:szCs w:val="22"/>
        </w:rPr>
      </w:pPr>
    </w:p>
    <w:p w:rsidR="00996BAA" w:rsidRPr="00996BAA" w:rsidRDefault="00996BAA" w:rsidP="00996BAA">
      <w:pPr>
        <w:rPr>
          <w:rFonts w:cs="Open Sans"/>
          <w:b/>
          <w:sz w:val="22"/>
          <w:szCs w:val="22"/>
        </w:rPr>
      </w:pPr>
      <w:r w:rsidRPr="00996BAA">
        <w:rPr>
          <w:rFonts w:cs="Open Sans"/>
          <w:b/>
          <w:sz w:val="22"/>
          <w:szCs w:val="22"/>
        </w:rPr>
        <w:t>Personalabbau verstärkt sich</w:t>
      </w:r>
    </w:p>
    <w:p w:rsidR="00996BAA" w:rsidRDefault="00996BAA" w:rsidP="00996BAA">
      <w:pPr>
        <w:rPr>
          <w:rFonts w:cs="Open Sans"/>
          <w:sz w:val="22"/>
          <w:szCs w:val="22"/>
        </w:rPr>
      </w:pPr>
      <w:r w:rsidRPr="004E4BD9">
        <w:rPr>
          <w:rFonts w:cs="Open Sans"/>
          <w:sz w:val="22"/>
          <w:szCs w:val="22"/>
        </w:rPr>
        <w:t xml:space="preserve">In den letzten sechs Monaten haben 28,6 Prozent der Unternehmen ihre Belegschaft verkleinert, während nur 11,9 Prozent neue Mitarbeiter eingestellt haben. Besonders stark war der Personalabbau im Bau und </w:t>
      </w:r>
      <w:r>
        <w:rPr>
          <w:rFonts w:cs="Open Sans"/>
          <w:sz w:val="22"/>
          <w:szCs w:val="22"/>
        </w:rPr>
        <w:t xml:space="preserve">im </w:t>
      </w:r>
      <w:r w:rsidRPr="004E4BD9">
        <w:rPr>
          <w:rFonts w:cs="Open Sans"/>
          <w:sz w:val="22"/>
          <w:szCs w:val="22"/>
        </w:rPr>
        <w:t xml:space="preserve">Verarbeitenden Gewerbe, wo jeweils etwa ein Drittel der Unternehmen Stellen gestrichen hat. Auch die Personalplanungen für die Zukunft sind zurückhaltend. Es ist zu erwarten, dass die Beschäftigtenzahl im Mittelstand weiter sinkt. Die Investitionsbereitschaft befindet sich auf einem historischen Tiefstand: Nur 31,4 Prozent der Unternehmen planen </w:t>
      </w:r>
      <w:r>
        <w:rPr>
          <w:rFonts w:cs="Open Sans"/>
          <w:sz w:val="22"/>
          <w:szCs w:val="22"/>
        </w:rPr>
        <w:t xml:space="preserve">in der nächsten Zeit </w:t>
      </w:r>
      <w:r w:rsidRPr="004E4BD9">
        <w:rPr>
          <w:rFonts w:cs="Open Sans"/>
          <w:sz w:val="22"/>
          <w:szCs w:val="22"/>
        </w:rPr>
        <w:t xml:space="preserve">Investitionen, was einen Rückgang im Vergleich zum Vorjahr </w:t>
      </w:r>
      <w:r>
        <w:rPr>
          <w:rFonts w:cs="Open Sans"/>
          <w:sz w:val="22"/>
          <w:szCs w:val="22"/>
        </w:rPr>
        <w:t xml:space="preserve">(42,8 Prozent) </w:t>
      </w:r>
      <w:r w:rsidRPr="004E4BD9">
        <w:rPr>
          <w:rFonts w:cs="Open Sans"/>
          <w:sz w:val="22"/>
          <w:szCs w:val="22"/>
        </w:rPr>
        <w:t>darstellt. Vor allem die unsicheren Konjunkturaussichten bremsen die Investitionsvorhaben.</w:t>
      </w:r>
    </w:p>
    <w:p w:rsidR="00996BAA" w:rsidRDefault="00996BAA" w:rsidP="00996BAA">
      <w:pPr>
        <w:rPr>
          <w:rFonts w:cs="Open Sans"/>
          <w:sz w:val="22"/>
          <w:szCs w:val="22"/>
        </w:rPr>
      </w:pPr>
    </w:p>
    <w:p w:rsidR="00996BAA" w:rsidRPr="00996BAA" w:rsidRDefault="00996BAA" w:rsidP="00996BAA">
      <w:pPr>
        <w:rPr>
          <w:rFonts w:cs="Open Sans"/>
          <w:b/>
          <w:sz w:val="22"/>
          <w:szCs w:val="22"/>
        </w:rPr>
      </w:pPr>
      <w:r w:rsidRPr="00996BAA">
        <w:rPr>
          <w:rFonts w:cs="Open Sans"/>
          <w:b/>
          <w:sz w:val="22"/>
          <w:szCs w:val="22"/>
        </w:rPr>
        <w:t>Einbruch bei den Erträgen – Insolvenzen steigen</w:t>
      </w:r>
    </w:p>
    <w:p w:rsidR="00996BAA" w:rsidRDefault="00996BAA" w:rsidP="00996BAA">
      <w:pPr>
        <w:rPr>
          <w:rFonts w:cs="Open Sans"/>
          <w:sz w:val="22"/>
          <w:szCs w:val="22"/>
        </w:rPr>
      </w:pPr>
      <w:r w:rsidRPr="00185FD1">
        <w:rPr>
          <w:rFonts w:cs="Open Sans"/>
          <w:sz w:val="22"/>
          <w:szCs w:val="22"/>
        </w:rPr>
        <w:t>„Fehlende Aufträge, rückläufige Umsätze und hohe Kosten belasten die Ertragslage der Unternehmen. In den letzten Monaten war kaum eine Ertragssteigerung zu verzeichnen“, so Konjunkturforscher Weinhofer. Der Mittelstand steht auch aufgrund einer Verschlechterung der Zahlungsmoral unter Druck. Forderungslaufzeiten von bis zu 60 Tagen sind keine Seltenheit mehr. Zudem bericht</w:t>
      </w:r>
      <w:r>
        <w:rPr>
          <w:rFonts w:cs="Open Sans"/>
          <w:sz w:val="22"/>
          <w:szCs w:val="22"/>
        </w:rPr>
        <w:t>et</w:t>
      </w:r>
      <w:r w:rsidRPr="00185FD1">
        <w:rPr>
          <w:rFonts w:cs="Open Sans"/>
          <w:sz w:val="22"/>
          <w:szCs w:val="22"/>
        </w:rPr>
        <w:t>en die Unternehmen häufiger als im Vorjahr von Forderungsausfällen, die mehr als 1,0 Prozent des Umsatzes betragen und somit zunehmend die Liquidität gefährden.</w:t>
      </w:r>
    </w:p>
    <w:p w:rsidR="00996BAA" w:rsidRPr="00185FD1" w:rsidRDefault="00996BAA" w:rsidP="00996BAA">
      <w:pPr>
        <w:rPr>
          <w:rFonts w:cs="Open Sans"/>
          <w:sz w:val="22"/>
          <w:szCs w:val="22"/>
        </w:rPr>
      </w:pPr>
    </w:p>
    <w:p w:rsidR="00996BAA" w:rsidRPr="00185FD1" w:rsidRDefault="00996BAA" w:rsidP="00996BAA">
      <w:pPr>
        <w:rPr>
          <w:rFonts w:cs="Open Sans"/>
          <w:sz w:val="22"/>
          <w:szCs w:val="22"/>
        </w:rPr>
      </w:pPr>
      <w:r w:rsidRPr="00185FD1">
        <w:rPr>
          <w:rFonts w:cs="Open Sans"/>
          <w:sz w:val="22"/>
          <w:szCs w:val="22"/>
        </w:rPr>
        <w:t>„Zwar ist die Eigenkapitalsituation im Mittelstand noch überwiegend stabil, doch die finanzielle S</w:t>
      </w:r>
      <w:r>
        <w:rPr>
          <w:rFonts w:cs="Open Sans"/>
          <w:sz w:val="22"/>
          <w:szCs w:val="22"/>
        </w:rPr>
        <w:t>olidität</w:t>
      </w:r>
      <w:r w:rsidRPr="00185FD1">
        <w:rPr>
          <w:rFonts w:cs="Open Sans"/>
          <w:sz w:val="22"/>
          <w:szCs w:val="22"/>
        </w:rPr>
        <w:t xml:space="preserve"> der Unternehmen beginnt bereits zu wackeln“, erklärt Weinhofer. Der Anteil der Unternehmen mit einer hohen Eigenkapitalquote sank auf 44,1 Prozent (Vorjahr: 44,8 Prozent). Besonders im Verarbeitenden Gewerbe und im Handel war eine Verschlechterung zu verzeichnen. Gleichzeitig ging </w:t>
      </w:r>
      <w:r>
        <w:rPr>
          <w:rFonts w:cs="Open Sans"/>
          <w:sz w:val="22"/>
          <w:szCs w:val="22"/>
        </w:rPr>
        <w:t xml:space="preserve">allerdings </w:t>
      </w:r>
      <w:r w:rsidRPr="00185FD1">
        <w:rPr>
          <w:rFonts w:cs="Open Sans"/>
          <w:sz w:val="22"/>
          <w:szCs w:val="22"/>
        </w:rPr>
        <w:t xml:space="preserve">der Anteil der eigenkapitalschwachen Unternehmen auf 16,8 Prozent zurück (Vorjahr: 18,4 Prozent). Als eigenkapitalschwach </w:t>
      </w:r>
      <w:r>
        <w:rPr>
          <w:rFonts w:cs="Open Sans"/>
          <w:sz w:val="22"/>
          <w:szCs w:val="22"/>
        </w:rPr>
        <w:t>erwiesen sich</w:t>
      </w:r>
      <w:r w:rsidRPr="00185FD1">
        <w:rPr>
          <w:rFonts w:cs="Open Sans"/>
          <w:sz w:val="22"/>
          <w:szCs w:val="22"/>
        </w:rPr>
        <w:t xml:space="preserve"> vor allem Unternehmen aus dem Baugewerbe und dem Handel.</w:t>
      </w:r>
    </w:p>
    <w:p w:rsidR="00996BAA" w:rsidRDefault="00996BAA" w:rsidP="00996BAA">
      <w:pPr>
        <w:rPr>
          <w:rFonts w:cs="Open Sans"/>
          <w:sz w:val="22"/>
          <w:szCs w:val="22"/>
        </w:rPr>
      </w:pPr>
    </w:p>
    <w:p w:rsidR="00996BAA" w:rsidRDefault="00996BAA" w:rsidP="00996BAA">
      <w:pPr>
        <w:rPr>
          <w:rFonts w:cs="Open Sans"/>
          <w:sz w:val="22"/>
          <w:szCs w:val="22"/>
        </w:rPr>
      </w:pPr>
      <w:r w:rsidRPr="00CC79F4">
        <w:rPr>
          <w:rFonts w:cs="Open Sans"/>
          <w:sz w:val="22"/>
          <w:szCs w:val="22"/>
        </w:rPr>
        <w:t xml:space="preserve">In den ersten neun Monaten des Jahres 2024 stieg die Zahl der Unternehmensinsolvenzen </w:t>
      </w:r>
      <w:r>
        <w:rPr>
          <w:rFonts w:cs="Open Sans"/>
          <w:sz w:val="22"/>
          <w:szCs w:val="22"/>
        </w:rPr>
        <w:t xml:space="preserve">in Österreich </w:t>
      </w:r>
      <w:r w:rsidRPr="00CC79F4">
        <w:rPr>
          <w:rFonts w:cs="Open Sans"/>
          <w:sz w:val="22"/>
          <w:szCs w:val="22"/>
        </w:rPr>
        <w:t>um 22,8 Prozent auf 4.931 Fälle. Besonders stark war der Anstieg im Kredit- und Versicherungsgewerbe sowie in der Sachgütererzeugung und im Bauwesen. Regional gesehen verzeichnete das Burgenland mit einem Plus von 59,7 Prozent den größten Zuwachs. „Viele Unternehmen stehen aktuell unter starkem Kostendruck und sehen sich einer rückläufigen Nachfrage gegenüber. Der Anstieg der Insolvenzen ist daher wenig überraschend“, erklärt Weinhofer.</w:t>
      </w:r>
    </w:p>
    <w:p w:rsidR="00996BAA" w:rsidRDefault="00996BAA" w:rsidP="00996BAA">
      <w:pPr>
        <w:rPr>
          <w:rFonts w:cs="Open Sans"/>
          <w:sz w:val="22"/>
          <w:szCs w:val="22"/>
        </w:rPr>
      </w:pPr>
    </w:p>
    <w:p w:rsidR="00AB5C81" w:rsidRDefault="00AB5C81" w:rsidP="00996BAA">
      <w:pPr>
        <w:rPr>
          <w:rFonts w:cs="Open Sans"/>
          <w:b/>
          <w:sz w:val="22"/>
          <w:szCs w:val="22"/>
        </w:rPr>
      </w:pPr>
    </w:p>
    <w:p w:rsidR="00AB5C81" w:rsidRDefault="00AB5C81" w:rsidP="00996BAA">
      <w:pPr>
        <w:rPr>
          <w:rFonts w:cs="Open Sans"/>
          <w:b/>
          <w:sz w:val="22"/>
          <w:szCs w:val="22"/>
        </w:rPr>
      </w:pPr>
    </w:p>
    <w:p w:rsidR="00AB5C81" w:rsidRDefault="00AB5C81" w:rsidP="00996BAA">
      <w:pPr>
        <w:rPr>
          <w:rFonts w:cs="Open Sans"/>
          <w:b/>
          <w:sz w:val="22"/>
          <w:szCs w:val="22"/>
        </w:rPr>
      </w:pPr>
    </w:p>
    <w:p w:rsidR="00AB5C81" w:rsidRDefault="00AB5C81" w:rsidP="00996BAA">
      <w:pPr>
        <w:rPr>
          <w:rFonts w:cs="Open Sans"/>
          <w:b/>
          <w:sz w:val="22"/>
          <w:szCs w:val="22"/>
        </w:rPr>
      </w:pPr>
    </w:p>
    <w:p w:rsidR="00996BAA" w:rsidRPr="00996BAA" w:rsidRDefault="00996BAA" w:rsidP="00996BAA">
      <w:pPr>
        <w:rPr>
          <w:rFonts w:cs="Open Sans"/>
          <w:b/>
          <w:sz w:val="22"/>
          <w:szCs w:val="22"/>
        </w:rPr>
      </w:pPr>
      <w:r w:rsidRPr="00996BAA">
        <w:rPr>
          <w:rFonts w:cs="Open Sans"/>
          <w:b/>
          <w:sz w:val="22"/>
          <w:szCs w:val="22"/>
        </w:rPr>
        <w:t>Wirtschaftspolitik der Bundesregierung in der Kritik</w:t>
      </w:r>
    </w:p>
    <w:p w:rsidR="00996BAA" w:rsidRDefault="00996BAA" w:rsidP="00996BAA">
      <w:pPr>
        <w:rPr>
          <w:rFonts w:cs="Open Sans"/>
          <w:sz w:val="22"/>
          <w:szCs w:val="22"/>
        </w:rPr>
      </w:pPr>
      <w:r w:rsidRPr="009148A7">
        <w:rPr>
          <w:rFonts w:cs="Open Sans"/>
          <w:sz w:val="22"/>
          <w:szCs w:val="22"/>
        </w:rPr>
        <w:t>„Aus Sicht der Wirtschaft unternimmt die Politik zu wenig, um die Rezession zu bekämpfen und die Unternehmen zu entlasten. Besonders kritisiert werden bürokratische Hürden und weiter steigende Kosten“, erklärt Weinhofer. Mehr als die Hälfte der befragten Unternehmen (54,2 Prozent) bewertet die aktuelle Wirtschaftspolitik der Regierung als unzureichend und sieht sie kritisch. Lediglich 5,5 Prozent äußerten sich p</w:t>
      </w:r>
      <w:r w:rsidR="00442140">
        <w:rPr>
          <w:rFonts w:cs="Open Sans"/>
          <w:sz w:val="22"/>
          <w:szCs w:val="22"/>
        </w:rPr>
        <w:t>ositiv, während ein Drittel der</w:t>
      </w:r>
      <w:r w:rsidR="00442140">
        <w:rPr>
          <w:rFonts w:cs="Open Sans"/>
          <w:sz w:val="22"/>
          <w:szCs w:val="22"/>
        </w:rPr>
        <w:br/>
      </w:r>
      <w:r w:rsidRPr="009148A7">
        <w:rPr>
          <w:rFonts w:cs="Open Sans"/>
          <w:sz w:val="22"/>
          <w:szCs w:val="22"/>
        </w:rPr>
        <w:t>Befragten (33,</w:t>
      </w:r>
      <w:r>
        <w:rPr>
          <w:rFonts w:cs="Open Sans"/>
          <w:sz w:val="22"/>
          <w:szCs w:val="22"/>
        </w:rPr>
        <w:t>2</w:t>
      </w:r>
      <w:r w:rsidRPr="009148A7">
        <w:rPr>
          <w:rFonts w:cs="Open Sans"/>
          <w:sz w:val="22"/>
          <w:szCs w:val="22"/>
        </w:rPr>
        <w:t xml:space="preserve"> Prozent) eine neutrale Haltung einnahm.</w:t>
      </w:r>
      <w:r>
        <w:rPr>
          <w:rFonts w:cs="Open Sans"/>
          <w:sz w:val="22"/>
          <w:szCs w:val="22"/>
        </w:rPr>
        <w:t xml:space="preserve"> </w:t>
      </w:r>
      <w:r w:rsidRPr="009148A7">
        <w:rPr>
          <w:rFonts w:cs="Open Sans"/>
          <w:sz w:val="22"/>
          <w:szCs w:val="22"/>
        </w:rPr>
        <w:t xml:space="preserve">Zu den wichtigsten Themen aus Sicht des Mittelstands gehören der Bürokratieabbau (71,4 Prozent) und der Fachkräftemangel (63,7 Prozent). Zudem belasten </w:t>
      </w:r>
      <w:r>
        <w:rPr>
          <w:rFonts w:cs="Open Sans"/>
          <w:sz w:val="22"/>
          <w:szCs w:val="22"/>
        </w:rPr>
        <w:t xml:space="preserve">die Inflation, hohe Energiekosten, </w:t>
      </w:r>
      <w:r w:rsidRPr="009148A7">
        <w:rPr>
          <w:rFonts w:cs="Open Sans"/>
          <w:sz w:val="22"/>
          <w:szCs w:val="22"/>
        </w:rPr>
        <w:t xml:space="preserve">gestiegene Zinsen und </w:t>
      </w:r>
      <w:r>
        <w:rPr>
          <w:rFonts w:cs="Open Sans"/>
          <w:sz w:val="22"/>
          <w:szCs w:val="22"/>
        </w:rPr>
        <w:t xml:space="preserve">die </w:t>
      </w:r>
      <w:r w:rsidRPr="009148A7">
        <w:rPr>
          <w:rFonts w:cs="Open Sans"/>
          <w:sz w:val="22"/>
          <w:szCs w:val="22"/>
        </w:rPr>
        <w:t xml:space="preserve">mangelnde Planungssicherheit die </w:t>
      </w:r>
      <w:r>
        <w:rPr>
          <w:rFonts w:cs="Open Sans"/>
          <w:sz w:val="22"/>
          <w:szCs w:val="22"/>
        </w:rPr>
        <w:t>Unternehmen weiterhin erheblich.</w:t>
      </w:r>
    </w:p>
    <w:p w:rsidR="00C557B8" w:rsidRPr="005E2A50" w:rsidRDefault="00C557B8" w:rsidP="005278B8">
      <w:pPr>
        <w:rPr>
          <w:rFonts w:cs="Open Sans"/>
          <w:sz w:val="22"/>
          <w:szCs w:val="22"/>
        </w:rPr>
      </w:pPr>
    </w:p>
    <w:p w:rsidR="003504CD" w:rsidRPr="005E2A50" w:rsidRDefault="003504CD" w:rsidP="00F411CA">
      <w:pPr>
        <w:pStyle w:val="berschrift1"/>
        <w:spacing w:before="0" w:after="0"/>
        <w:rPr>
          <w:szCs w:val="22"/>
        </w:rPr>
      </w:pPr>
      <w:r w:rsidRPr="005E2A50">
        <w:rPr>
          <w:szCs w:val="22"/>
        </w:rPr>
        <w:t xml:space="preserve">Für den Inhalt verantwortlich </w:t>
      </w:r>
      <w:r w:rsidR="00A47C38" w:rsidRPr="005E2A50">
        <w:rPr>
          <w:szCs w:val="22"/>
        </w:rPr>
        <w:t xml:space="preserve">und </w:t>
      </w:r>
      <w:r w:rsidRPr="005E2A50">
        <w:rPr>
          <w:szCs w:val="22"/>
        </w:rPr>
        <w:t>Rückfragehinweis</w:t>
      </w:r>
      <w:r w:rsidR="00A47C38" w:rsidRPr="005E2A50">
        <w:rPr>
          <w:szCs w:val="22"/>
        </w:rPr>
        <w:t>:</w:t>
      </w:r>
    </w:p>
    <w:p w:rsidR="002919BC" w:rsidRDefault="002919BC" w:rsidP="00334197">
      <w:pPr>
        <w:rPr>
          <w:rFonts w:cs="Open Sans"/>
          <w:sz w:val="22"/>
          <w:szCs w:val="22"/>
        </w:rPr>
      </w:pPr>
      <w:r>
        <w:rPr>
          <w:rFonts w:cs="Open Sans"/>
          <w:sz w:val="22"/>
          <w:szCs w:val="22"/>
        </w:rPr>
        <w:t>Österreichischer Verband Creditreform</w:t>
      </w:r>
    </w:p>
    <w:p w:rsidR="00334197" w:rsidRPr="005E2A50" w:rsidRDefault="00334197" w:rsidP="00334197">
      <w:pPr>
        <w:rPr>
          <w:rFonts w:cs="Open Sans"/>
          <w:sz w:val="22"/>
          <w:szCs w:val="22"/>
        </w:rPr>
      </w:pPr>
      <w:r w:rsidRPr="005E2A50">
        <w:rPr>
          <w:rFonts w:cs="Open Sans"/>
          <w:sz w:val="22"/>
          <w:szCs w:val="22"/>
        </w:rPr>
        <w:t xml:space="preserve">Mag. Gerhard M. Weinhofer, </w:t>
      </w:r>
      <w:r w:rsidR="005E2A50" w:rsidRPr="005E2A50">
        <w:rPr>
          <w:rFonts w:cs="Open Sans"/>
          <w:sz w:val="22"/>
          <w:szCs w:val="22"/>
        </w:rPr>
        <w:t>Geschäftsführer</w:t>
      </w:r>
    </w:p>
    <w:p w:rsidR="000A3F99" w:rsidRPr="005E2A50" w:rsidRDefault="005E2A50" w:rsidP="00F411CA">
      <w:pPr>
        <w:tabs>
          <w:tab w:val="left" w:pos="709"/>
        </w:tabs>
        <w:rPr>
          <w:rFonts w:cs="Open Sans"/>
          <w:sz w:val="22"/>
          <w:szCs w:val="22"/>
        </w:rPr>
      </w:pPr>
      <w:r w:rsidRPr="005E2A50">
        <w:rPr>
          <w:rFonts w:cs="Open Sans"/>
          <w:sz w:val="22"/>
          <w:szCs w:val="22"/>
        </w:rPr>
        <w:t xml:space="preserve">Mobil: </w:t>
      </w:r>
      <w:r w:rsidRPr="005E2A50">
        <w:rPr>
          <w:rFonts w:cs="Open Sans"/>
          <w:sz w:val="22"/>
          <w:szCs w:val="22"/>
        </w:rPr>
        <w:tab/>
        <w:t>+43-</w:t>
      </w:r>
      <w:r w:rsidR="000A3F99" w:rsidRPr="005E2A50">
        <w:rPr>
          <w:rFonts w:cs="Open Sans"/>
          <w:sz w:val="22"/>
          <w:szCs w:val="22"/>
        </w:rPr>
        <w:t>676-832 18 290</w:t>
      </w:r>
    </w:p>
    <w:p w:rsidR="005E2A50" w:rsidRPr="005E2A50" w:rsidRDefault="00E67E4E" w:rsidP="00F411CA">
      <w:pPr>
        <w:rPr>
          <w:rStyle w:val="Hyperlink"/>
          <w:sz w:val="22"/>
          <w:szCs w:val="22"/>
        </w:rPr>
      </w:pPr>
      <w:hyperlink r:id="rId8" w:tooltip="mailto:g.weinhofer@wien.creditreform.at" w:history="1">
        <w:r w:rsidR="003504CD" w:rsidRPr="005E2A50">
          <w:rPr>
            <w:rStyle w:val="Hyperlink"/>
            <w:sz w:val="22"/>
            <w:szCs w:val="22"/>
          </w:rPr>
          <w:t>g.weinhofer@wien.creditreform.at</w:t>
        </w:r>
      </w:hyperlink>
    </w:p>
    <w:p w:rsidR="0004645B" w:rsidRPr="005E2A50" w:rsidRDefault="00E67E4E" w:rsidP="00F411CA">
      <w:pPr>
        <w:rPr>
          <w:rStyle w:val="Hyperlink"/>
          <w:sz w:val="22"/>
          <w:szCs w:val="22"/>
        </w:rPr>
      </w:pPr>
      <w:hyperlink r:id="rId9" w:tooltip="http://www.creditreform.at/" w:history="1">
        <w:r w:rsidR="003504CD" w:rsidRPr="005E2A50">
          <w:rPr>
            <w:rStyle w:val="Hyperlink"/>
            <w:sz w:val="22"/>
            <w:szCs w:val="22"/>
          </w:rPr>
          <w:t>www.creditreform.at</w:t>
        </w:r>
      </w:hyperlink>
    </w:p>
    <w:sectPr w:rsidR="0004645B" w:rsidRPr="005E2A50" w:rsidSect="00B14477">
      <w:headerReference w:type="default" r:id="rId10"/>
      <w:footerReference w:type="even" r:id="rId11"/>
      <w:footerReference w:type="default" r:id="rId12"/>
      <w:footerReference w:type="first" r:id="rId13"/>
      <w:pgSz w:w="11907" w:h="16840" w:code="9"/>
      <w:pgMar w:top="1418" w:right="1247" w:bottom="680" w:left="1247"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A38" w:rsidRDefault="00271A38">
      <w:r>
        <w:separator/>
      </w:r>
    </w:p>
  </w:endnote>
  <w:endnote w:type="continuationSeparator" w:id="0">
    <w:p w:rsidR="00271A38" w:rsidRDefault="0027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AE" w:rsidRDefault="00D700AE" w:rsidP="00D356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700AE" w:rsidRDefault="00D700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848644"/>
      <w:docPartObj>
        <w:docPartGallery w:val="Page Numbers (Bottom of Page)"/>
        <w:docPartUnique/>
      </w:docPartObj>
    </w:sdtPr>
    <w:sdtEndPr/>
    <w:sdtContent>
      <w:p w:rsidR="00BA2CCD" w:rsidRDefault="00BA2CCD">
        <w:pPr>
          <w:pStyle w:val="Fuzeile"/>
          <w:jc w:val="center"/>
        </w:pPr>
        <w:r>
          <w:fldChar w:fldCharType="begin"/>
        </w:r>
        <w:r>
          <w:instrText>PAGE   \* MERGEFORMAT</w:instrText>
        </w:r>
        <w:r>
          <w:fldChar w:fldCharType="separate"/>
        </w:r>
        <w:r w:rsidR="00E67E4E">
          <w:rPr>
            <w:noProof/>
          </w:rPr>
          <w:t>3</w:t>
        </w:r>
        <w:r>
          <w:fldChar w:fldCharType="end"/>
        </w:r>
      </w:p>
    </w:sdtContent>
  </w:sdt>
  <w:p w:rsidR="00D700AE" w:rsidRDefault="00D700AE">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AE" w:rsidRDefault="00D700AE">
    <w:pPr>
      <w:pStyle w:val="Fuzeile"/>
      <w:tabs>
        <w:tab w:val="left" w:pos="6096"/>
      </w:tabs>
      <w:rPr>
        <w:rFonts w:ascii="Gill Sans MT" w:hAnsi="Gill Sans MT"/>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A38" w:rsidRDefault="00271A38">
      <w:r>
        <w:separator/>
      </w:r>
    </w:p>
  </w:footnote>
  <w:footnote w:type="continuationSeparator" w:id="0">
    <w:p w:rsidR="00271A38" w:rsidRDefault="0027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55" w:rsidRDefault="00917255" w:rsidP="00807D5E">
    <w:pPr>
      <w:pStyle w:val="Kopfzeile"/>
      <w:ind w:right="-85"/>
      <w:jc w:val="right"/>
    </w:pPr>
    <w:r>
      <w:rPr>
        <w:rFonts w:ascii="Gill Sans MT" w:hAnsi="Gill Sans MT"/>
        <w:noProof/>
      </w:rPr>
      <w:drawing>
        <wp:inline distT="0" distB="0" distL="0" distR="0" wp14:anchorId="7EAAA467" wp14:editId="7371F4B5">
          <wp:extent cx="2412000" cy="352849"/>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fo-Logo_blue_kle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12000" cy="352849"/>
                  </a:xfrm>
                  <a:prstGeom prst="rect">
                    <a:avLst/>
                  </a:prstGeom>
                  <a:noFill/>
                  <a:ln>
                    <a:noFill/>
                  </a:ln>
                </pic:spPr>
              </pic:pic>
            </a:graphicData>
          </a:graphic>
        </wp:inline>
      </w:drawing>
    </w:r>
  </w:p>
  <w:tbl>
    <w:tblPr>
      <w:tblStyle w:val="Tabellenraster"/>
      <w:tblW w:w="9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26"/>
      <w:gridCol w:w="3828"/>
    </w:tblGrid>
    <w:tr w:rsidR="00B14477" w:rsidRPr="00B14477" w:rsidTr="00B14477">
      <w:trPr>
        <w:trHeight w:val="510"/>
      </w:trPr>
      <w:tc>
        <w:tcPr>
          <w:tcW w:w="5726" w:type="dxa"/>
          <w:vAlign w:val="center"/>
        </w:tcPr>
        <w:p w:rsidR="00B14477" w:rsidRPr="00B14477" w:rsidRDefault="00B14477" w:rsidP="00B14477">
          <w:pPr>
            <w:pStyle w:val="Textkrper2"/>
            <w:framePr w:w="0" w:hSpace="0" w:wrap="auto" w:vAnchor="margin" w:hAnchor="text" w:xAlign="left" w:yAlign="inline"/>
            <w:spacing w:after="0"/>
            <w:jc w:val="left"/>
            <w:rPr>
              <w:rFonts w:ascii="Open Sans" w:hAnsi="Open Sans" w:cs="Open Sans"/>
              <w:color w:val="B2B2B2"/>
              <w:sz w:val="19"/>
              <w:szCs w:val="19"/>
              <w:lang w:val="de-AT"/>
            </w:rPr>
          </w:pPr>
        </w:p>
      </w:tc>
      <w:tc>
        <w:tcPr>
          <w:tcW w:w="3828" w:type="dxa"/>
          <w:vAlign w:val="center"/>
        </w:tcPr>
        <w:p w:rsidR="00B14477" w:rsidRPr="00B14477" w:rsidRDefault="00B14477" w:rsidP="00B14477">
          <w:pPr>
            <w:pStyle w:val="Textkrper2"/>
            <w:framePr w:w="0" w:hSpace="0" w:wrap="auto" w:vAnchor="margin" w:hAnchor="text" w:xAlign="left" w:yAlign="inline"/>
            <w:spacing w:after="0"/>
            <w:rPr>
              <w:rFonts w:ascii="Open Sans" w:hAnsi="Open Sans" w:cs="Open Sans"/>
              <w:color w:val="B2B2B2"/>
              <w:sz w:val="19"/>
              <w:szCs w:val="19"/>
              <w:lang w:val="de-AT"/>
            </w:rPr>
          </w:pPr>
          <w:r w:rsidRPr="00B14477">
            <w:rPr>
              <w:rFonts w:ascii="Open Sans" w:hAnsi="Open Sans" w:cs="Open Sans"/>
              <w:color w:val="B2B2B2"/>
              <w:sz w:val="19"/>
              <w:szCs w:val="19"/>
              <w:lang w:val="de-AT"/>
            </w:rPr>
            <w:t>Wirtschafts- und Konjunkturforschung</w:t>
          </w:r>
        </w:p>
      </w:tc>
    </w:tr>
  </w:tbl>
  <w:p w:rsidR="00B14477" w:rsidRPr="00B14477" w:rsidRDefault="00B14477" w:rsidP="00807D5E">
    <w:pPr>
      <w:pStyle w:val="Kopfzeile"/>
      <w:ind w:right="-85"/>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57684"/>
    <w:multiLevelType w:val="hybridMultilevel"/>
    <w:tmpl w:val="C71857FC"/>
    <w:lvl w:ilvl="0" w:tplc="CBD2C4F6">
      <w:start w:val="1"/>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09"/>
    <w:rsid w:val="0002375B"/>
    <w:rsid w:val="0004318A"/>
    <w:rsid w:val="0004645B"/>
    <w:rsid w:val="0005460E"/>
    <w:rsid w:val="00057B24"/>
    <w:rsid w:val="00062015"/>
    <w:rsid w:val="000626FA"/>
    <w:rsid w:val="00073DD1"/>
    <w:rsid w:val="00077CF4"/>
    <w:rsid w:val="00093C67"/>
    <w:rsid w:val="000A344B"/>
    <w:rsid w:val="000A3F99"/>
    <w:rsid w:val="000B68DC"/>
    <w:rsid w:val="000C0177"/>
    <w:rsid w:val="000D6B8C"/>
    <w:rsid w:val="000E1829"/>
    <w:rsid w:val="000F3FA8"/>
    <w:rsid w:val="001200DA"/>
    <w:rsid w:val="00134EC8"/>
    <w:rsid w:val="00154B81"/>
    <w:rsid w:val="00156209"/>
    <w:rsid w:val="0016300E"/>
    <w:rsid w:val="00173F83"/>
    <w:rsid w:val="00175E3B"/>
    <w:rsid w:val="00185DF8"/>
    <w:rsid w:val="00186FA9"/>
    <w:rsid w:val="001963A0"/>
    <w:rsid w:val="001A2646"/>
    <w:rsid w:val="001A709A"/>
    <w:rsid w:val="001B4604"/>
    <w:rsid w:val="001C1C8E"/>
    <w:rsid w:val="0021371A"/>
    <w:rsid w:val="00227B32"/>
    <w:rsid w:val="00245544"/>
    <w:rsid w:val="00263C75"/>
    <w:rsid w:val="00266223"/>
    <w:rsid w:val="00271A38"/>
    <w:rsid w:val="00281B5D"/>
    <w:rsid w:val="00290386"/>
    <w:rsid w:val="002919BC"/>
    <w:rsid w:val="002B20ED"/>
    <w:rsid w:val="002C145C"/>
    <w:rsid w:val="002C778B"/>
    <w:rsid w:val="002D5B09"/>
    <w:rsid w:val="002D7128"/>
    <w:rsid w:val="002E1F3B"/>
    <w:rsid w:val="002F66AE"/>
    <w:rsid w:val="002F7A0D"/>
    <w:rsid w:val="0031244F"/>
    <w:rsid w:val="00314C15"/>
    <w:rsid w:val="00316DF3"/>
    <w:rsid w:val="0031761D"/>
    <w:rsid w:val="00332A26"/>
    <w:rsid w:val="00334197"/>
    <w:rsid w:val="003504CD"/>
    <w:rsid w:val="003649C5"/>
    <w:rsid w:val="0037108F"/>
    <w:rsid w:val="003721DE"/>
    <w:rsid w:val="00380063"/>
    <w:rsid w:val="00394C20"/>
    <w:rsid w:val="003A3EE1"/>
    <w:rsid w:val="003B5557"/>
    <w:rsid w:val="00413D9F"/>
    <w:rsid w:val="00420486"/>
    <w:rsid w:val="00421BAE"/>
    <w:rsid w:val="00442140"/>
    <w:rsid w:val="004535DD"/>
    <w:rsid w:val="00463914"/>
    <w:rsid w:val="00464173"/>
    <w:rsid w:val="004708C3"/>
    <w:rsid w:val="00487115"/>
    <w:rsid w:val="004919C1"/>
    <w:rsid w:val="00492F36"/>
    <w:rsid w:val="004977DB"/>
    <w:rsid w:val="004A5A8D"/>
    <w:rsid w:val="004B3E51"/>
    <w:rsid w:val="004C12D7"/>
    <w:rsid w:val="004C1EA6"/>
    <w:rsid w:val="004C2411"/>
    <w:rsid w:val="004D104D"/>
    <w:rsid w:val="004F7D7D"/>
    <w:rsid w:val="0052619D"/>
    <w:rsid w:val="005278B8"/>
    <w:rsid w:val="00530C49"/>
    <w:rsid w:val="00537EA5"/>
    <w:rsid w:val="005513D1"/>
    <w:rsid w:val="005601FB"/>
    <w:rsid w:val="005668D9"/>
    <w:rsid w:val="00594B05"/>
    <w:rsid w:val="005A030A"/>
    <w:rsid w:val="005E2A50"/>
    <w:rsid w:val="005F6785"/>
    <w:rsid w:val="0060380D"/>
    <w:rsid w:val="00605817"/>
    <w:rsid w:val="00613EB6"/>
    <w:rsid w:val="006612D4"/>
    <w:rsid w:val="00662019"/>
    <w:rsid w:val="006768BD"/>
    <w:rsid w:val="006814BA"/>
    <w:rsid w:val="00697F78"/>
    <w:rsid w:val="006A1EA5"/>
    <w:rsid w:val="006A4F3A"/>
    <w:rsid w:val="006B0DFA"/>
    <w:rsid w:val="006B0ED3"/>
    <w:rsid w:val="006B1A8A"/>
    <w:rsid w:val="006B714C"/>
    <w:rsid w:val="006B7638"/>
    <w:rsid w:val="006C3EA1"/>
    <w:rsid w:val="006C5271"/>
    <w:rsid w:val="006C7031"/>
    <w:rsid w:val="006D0341"/>
    <w:rsid w:val="006D0D1C"/>
    <w:rsid w:val="006D49D1"/>
    <w:rsid w:val="006D5F8C"/>
    <w:rsid w:val="006D636D"/>
    <w:rsid w:val="006E095C"/>
    <w:rsid w:val="006E1316"/>
    <w:rsid w:val="006F16F5"/>
    <w:rsid w:val="006F354D"/>
    <w:rsid w:val="00705F63"/>
    <w:rsid w:val="00706346"/>
    <w:rsid w:val="0073200A"/>
    <w:rsid w:val="007475F8"/>
    <w:rsid w:val="0076147E"/>
    <w:rsid w:val="00767FA7"/>
    <w:rsid w:val="00780257"/>
    <w:rsid w:val="0078756D"/>
    <w:rsid w:val="00790522"/>
    <w:rsid w:val="007A722D"/>
    <w:rsid w:val="007B49F5"/>
    <w:rsid w:val="007D6805"/>
    <w:rsid w:val="007F5F95"/>
    <w:rsid w:val="00805593"/>
    <w:rsid w:val="00807979"/>
    <w:rsid w:val="00807D5E"/>
    <w:rsid w:val="00824026"/>
    <w:rsid w:val="00843738"/>
    <w:rsid w:val="0085421D"/>
    <w:rsid w:val="00860965"/>
    <w:rsid w:val="00861517"/>
    <w:rsid w:val="00872F76"/>
    <w:rsid w:val="0088598C"/>
    <w:rsid w:val="008A0475"/>
    <w:rsid w:val="008B2A91"/>
    <w:rsid w:val="008B6FE9"/>
    <w:rsid w:val="008C0634"/>
    <w:rsid w:val="008D15AF"/>
    <w:rsid w:val="00907856"/>
    <w:rsid w:val="00917255"/>
    <w:rsid w:val="0094039B"/>
    <w:rsid w:val="00963FD3"/>
    <w:rsid w:val="00965ABA"/>
    <w:rsid w:val="0097330E"/>
    <w:rsid w:val="00977A51"/>
    <w:rsid w:val="00993E3F"/>
    <w:rsid w:val="00996BAA"/>
    <w:rsid w:val="009A41AA"/>
    <w:rsid w:val="009B4393"/>
    <w:rsid w:val="009C69E9"/>
    <w:rsid w:val="009C6C4E"/>
    <w:rsid w:val="009C7A5B"/>
    <w:rsid w:val="009D6D6B"/>
    <w:rsid w:val="009E1D12"/>
    <w:rsid w:val="009E3331"/>
    <w:rsid w:val="009F47CF"/>
    <w:rsid w:val="00A11D9D"/>
    <w:rsid w:val="00A335EB"/>
    <w:rsid w:val="00A43FCD"/>
    <w:rsid w:val="00A47C38"/>
    <w:rsid w:val="00A6190D"/>
    <w:rsid w:val="00A70E8B"/>
    <w:rsid w:val="00A878A9"/>
    <w:rsid w:val="00A87C8D"/>
    <w:rsid w:val="00AB5C81"/>
    <w:rsid w:val="00AC0FD5"/>
    <w:rsid w:val="00AC6F48"/>
    <w:rsid w:val="00AD61F0"/>
    <w:rsid w:val="00AD645B"/>
    <w:rsid w:val="00AE7D26"/>
    <w:rsid w:val="00AF7134"/>
    <w:rsid w:val="00B07038"/>
    <w:rsid w:val="00B1127F"/>
    <w:rsid w:val="00B14477"/>
    <w:rsid w:val="00B148D1"/>
    <w:rsid w:val="00B164F9"/>
    <w:rsid w:val="00B21C4B"/>
    <w:rsid w:val="00B22DD6"/>
    <w:rsid w:val="00B240A2"/>
    <w:rsid w:val="00B378DD"/>
    <w:rsid w:val="00B769F1"/>
    <w:rsid w:val="00B76FAA"/>
    <w:rsid w:val="00B827F4"/>
    <w:rsid w:val="00B94644"/>
    <w:rsid w:val="00BA2AEA"/>
    <w:rsid w:val="00BA2CCD"/>
    <w:rsid w:val="00BA468A"/>
    <w:rsid w:val="00BA77FF"/>
    <w:rsid w:val="00BB5CE8"/>
    <w:rsid w:val="00BF2BFF"/>
    <w:rsid w:val="00C043C5"/>
    <w:rsid w:val="00C04A2C"/>
    <w:rsid w:val="00C05BFB"/>
    <w:rsid w:val="00C24B42"/>
    <w:rsid w:val="00C25756"/>
    <w:rsid w:val="00C419BC"/>
    <w:rsid w:val="00C557B8"/>
    <w:rsid w:val="00C65E1C"/>
    <w:rsid w:val="00C87B5E"/>
    <w:rsid w:val="00C920AB"/>
    <w:rsid w:val="00CA4E78"/>
    <w:rsid w:val="00CA55B2"/>
    <w:rsid w:val="00CB6BF7"/>
    <w:rsid w:val="00CB7977"/>
    <w:rsid w:val="00CD16C9"/>
    <w:rsid w:val="00CD6AB0"/>
    <w:rsid w:val="00CE1E6B"/>
    <w:rsid w:val="00CF302F"/>
    <w:rsid w:val="00D17B7F"/>
    <w:rsid w:val="00D202D4"/>
    <w:rsid w:val="00D26731"/>
    <w:rsid w:val="00D3560C"/>
    <w:rsid w:val="00D64C0E"/>
    <w:rsid w:val="00D700AE"/>
    <w:rsid w:val="00D81E70"/>
    <w:rsid w:val="00D82180"/>
    <w:rsid w:val="00D84B68"/>
    <w:rsid w:val="00DA5EB0"/>
    <w:rsid w:val="00DB3AD6"/>
    <w:rsid w:val="00DC00B3"/>
    <w:rsid w:val="00DE31E2"/>
    <w:rsid w:val="00E1006B"/>
    <w:rsid w:val="00E31C78"/>
    <w:rsid w:val="00E41669"/>
    <w:rsid w:val="00E50C16"/>
    <w:rsid w:val="00E6349F"/>
    <w:rsid w:val="00E66737"/>
    <w:rsid w:val="00E67E4E"/>
    <w:rsid w:val="00E70FDA"/>
    <w:rsid w:val="00E74FF3"/>
    <w:rsid w:val="00EE6460"/>
    <w:rsid w:val="00EE6F9F"/>
    <w:rsid w:val="00EF7BE1"/>
    <w:rsid w:val="00F03DE2"/>
    <w:rsid w:val="00F1082A"/>
    <w:rsid w:val="00F17661"/>
    <w:rsid w:val="00F23F9D"/>
    <w:rsid w:val="00F303F6"/>
    <w:rsid w:val="00F368FE"/>
    <w:rsid w:val="00F40E43"/>
    <w:rsid w:val="00F411CA"/>
    <w:rsid w:val="00F426BE"/>
    <w:rsid w:val="00F5351B"/>
    <w:rsid w:val="00F55E2D"/>
    <w:rsid w:val="00F62763"/>
    <w:rsid w:val="00F7459A"/>
    <w:rsid w:val="00F81047"/>
    <w:rsid w:val="00F9050A"/>
    <w:rsid w:val="00F91792"/>
    <w:rsid w:val="00F93065"/>
    <w:rsid w:val="00FA3D0D"/>
    <w:rsid w:val="00FA54E9"/>
    <w:rsid w:val="00FC2380"/>
    <w:rsid w:val="00FF0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E197A1"/>
  <w15:docId w15:val="{0785C0BE-BA54-429B-B144-9AF95F0B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31E2"/>
    <w:pPr>
      <w:jc w:val="both"/>
    </w:pPr>
    <w:rPr>
      <w:rFonts w:ascii="Open Sans" w:hAnsi="Open Sans"/>
    </w:rPr>
  </w:style>
  <w:style w:type="paragraph" w:styleId="berschrift1">
    <w:name w:val="heading 1"/>
    <w:basedOn w:val="Standard"/>
    <w:next w:val="Standard"/>
    <w:link w:val="berschrift1Zchn"/>
    <w:qFormat/>
    <w:rsid w:val="00A47C38"/>
    <w:pPr>
      <w:keepNext/>
      <w:keepLines/>
      <w:spacing w:before="120" w:after="60"/>
      <w:outlineLvl w:val="0"/>
    </w:pPr>
    <w:rPr>
      <w:b/>
      <w:sz w:val="22"/>
    </w:rPr>
  </w:style>
  <w:style w:type="paragraph" w:styleId="berschrift2">
    <w:name w:val="heading 2"/>
    <w:basedOn w:val="Standard"/>
    <w:next w:val="Standard"/>
    <w:link w:val="berschrift2Zchn"/>
    <w:semiHidden/>
    <w:unhideWhenUsed/>
    <w:qFormat/>
    <w:rsid w:val="00996B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0A3F99"/>
    <w:pPr>
      <w:keepNext/>
      <w:spacing w:before="240" w:after="60"/>
      <w:jc w:val="left"/>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Datum">
    <w:name w:val="Date"/>
    <w:basedOn w:val="Textkrper"/>
    <w:next w:val="Standard"/>
    <w:pPr>
      <w:spacing w:after="440" w:line="220" w:lineRule="atLeast"/>
      <w:ind w:left="4321"/>
      <w:jc w:val="right"/>
    </w:pPr>
    <w:rPr>
      <w:rFonts w:ascii="Arial" w:hAnsi="Arial"/>
      <w:spacing w:val="-5"/>
    </w:rPr>
  </w:style>
  <w:style w:type="paragraph" w:styleId="Textkrper">
    <w:name w:val="Body Text"/>
    <w:basedOn w:val="Standard"/>
    <w:pPr>
      <w:spacing w:after="120"/>
    </w:pPr>
  </w:style>
  <w:style w:type="paragraph" w:styleId="Anrede">
    <w:name w:val="Salutation"/>
    <w:basedOn w:val="Textkrper"/>
    <w:next w:val="Standard"/>
    <w:pPr>
      <w:spacing w:before="220" w:after="220" w:line="220" w:lineRule="atLeast"/>
    </w:pPr>
    <w:rPr>
      <w:rFonts w:ascii="Arial" w:hAnsi="Arial"/>
      <w:spacing w:val="-5"/>
    </w:rPr>
  </w:style>
  <w:style w:type="paragraph" w:styleId="Textkrper2">
    <w:name w:val="Body Text 2"/>
    <w:basedOn w:val="Standard"/>
    <w:pPr>
      <w:framePr w:w="4423" w:hSpace="142" w:wrap="around" w:vAnchor="page" w:hAnchor="page" w:x="7343" w:y="721" w:anchorLock="1"/>
      <w:spacing w:after="120"/>
    </w:pPr>
    <w:rPr>
      <w:rFonts w:ascii="Gill Sans MT" w:hAnsi="Gill Sans MT"/>
      <w:b/>
    </w:rPr>
  </w:style>
  <w:style w:type="paragraph" w:styleId="Sprechblasentext">
    <w:name w:val="Balloon Text"/>
    <w:basedOn w:val="Standard"/>
    <w:semiHidden/>
    <w:rsid w:val="00156209"/>
    <w:rPr>
      <w:rFonts w:ascii="Tahoma" w:hAnsi="Tahoma" w:cs="Tahoma"/>
      <w:sz w:val="16"/>
      <w:szCs w:val="16"/>
    </w:rPr>
  </w:style>
  <w:style w:type="paragraph" w:styleId="Textkrper3">
    <w:name w:val="Body Text 3"/>
    <w:basedOn w:val="Standard"/>
    <w:rsid w:val="00B769F1"/>
    <w:pPr>
      <w:spacing w:after="120"/>
    </w:pPr>
    <w:rPr>
      <w:sz w:val="16"/>
      <w:szCs w:val="16"/>
    </w:rPr>
  </w:style>
  <w:style w:type="character" w:styleId="Hyperlink">
    <w:name w:val="Hyperlink"/>
    <w:rsid w:val="009C69E9"/>
    <w:rPr>
      <w:rFonts w:ascii="Open Sans" w:hAnsi="Open Sans"/>
      <w:color w:val="009EE2"/>
      <w:sz w:val="20"/>
      <w:u w:val="single"/>
    </w:rPr>
  </w:style>
  <w:style w:type="character" w:customStyle="1" w:styleId="berschrift1Zchn">
    <w:name w:val="Überschrift 1 Zchn"/>
    <w:link w:val="berschrift1"/>
    <w:rsid w:val="00A47C38"/>
    <w:rPr>
      <w:rFonts w:ascii="Open Sans" w:hAnsi="Open Sans"/>
      <w:b/>
      <w:sz w:val="22"/>
    </w:rPr>
  </w:style>
  <w:style w:type="table" w:styleId="Tabellenraster">
    <w:name w:val="Table Grid"/>
    <w:basedOn w:val="NormaleTabelle"/>
    <w:rsid w:val="0091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B148D1"/>
    <w:pPr>
      <w:contextualSpacing/>
    </w:pPr>
    <w:rPr>
      <w:rFonts w:eastAsiaTheme="majorEastAsia" w:cstheme="majorBidi"/>
      <w:b/>
      <w:color w:val="009EE2"/>
      <w:spacing w:val="5"/>
      <w:kern w:val="28"/>
      <w:sz w:val="28"/>
      <w:szCs w:val="52"/>
    </w:rPr>
  </w:style>
  <w:style w:type="character" w:customStyle="1" w:styleId="TitelZchn">
    <w:name w:val="Titel Zchn"/>
    <w:basedOn w:val="Absatz-Standardschriftart"/>
    <w:link w:val="Titel"/>
    <w:rsid w:val="00B148D1"/>
    <w:rPr>
      <w:rFonts w:ascii="Open Sans" w:eastAsiaTheme="majorEastAsia" w:hAnsi="Open Sans" w:cstheme="majorBidi"/>
      <w:b/>
      <w:color w:val="009EE2"/>
      <w:spacing w:val="5"/>
      <w:kern w:val="28"/>
      <w:sz w:val="28"/>
      <w:szCs w:val="52"/>
    </w:rPr>
  </w:style>
  <w:style w:type="character" w:styleId="Hervorhebung">
    <w:name w:val="Emphasis"/>
    <w:basedOn w:val="Absatz-Standardschriftart"/>
    <w:rsid w:val="000A3F99"/>
    <w:rPr>
      <w:rFonts w:ascii="Open Sans" w:hAnsi="Open Sans"/>
      <w:i/>
      <w:iCs/>
      <w:sz w:val="20"/>
    </w:rPr>
  </w:style>
  <w:style w:type="character" w:customStyle="1" w:styleId="berschrift3Zchn">
    <w:name w:val="Überschrift 3 Zchn"/>
    <w:basedOn w:val="Absatz-Standardschriftart"/>
    <w:link w:val="berschrift3"/>
    <w:semiHidden/>
    <w:rsid w:val="000A3F99"/>
    <w:rPr>
      <w:rFonts w:ascii="Cambria" w:hAnsi="Cambria"/>
      <w:b/>
      <w:bCs/>
      <w:sz w:val="26"/>
      <w:szCs w:val="26"/>
    </w:rPr>
  </w:style>
  <w:style w:type="paragraph" w:styleId="StandardWeb">
    <w:name w:val="Normal (Web)"/>
    <w:basedOn w:val="Standard"/>
    <w:uiPriority w:val="99"/>
    <w:unhideWhenUsed/>
    <w:rsid w:val="000A3F99"/>
    <w:pPr>
      <w:spacing w:before="100" w:beforeAutospacing="1" w:after="100" w:afterAutospacing="1"/>
      <w:jc w:val="left"/>
    </w:pPr>
    <w:rPr>
      <w:rFonts w:ascii="Times New Roman" w:hAnsi="Times New Roman"/>
      <w:sz w:val="24"/>
      <w:szCs w:val="24"/>
    </w:rPr>
  </w:style>
  <w:style w:type="paragraph" w:customStyle="1" w:styleId="Tabellenberschrift">
    <w:name w:val="Tabellen_Überschrift"/>
    <w:basedOn w:val="Standard"/>
    <w:qFormat/>
    <w:rsid w:val="007A722D"/>
    <w:pPr>
      <w:spacing w:before="40" w:after="60"/>
    </w:pPr>
    <w:rPr>
      <w:i/>
      <w:sz w:val="18"/>
    </w:rPr>
  </w:style>
  <w:style w:type="character" w:customStyle="1" w:styleId="Hyperlink0">
    <w:name w:val="Hyperlink.0"/>
    <w:rsid w:val="000A3F99"/>
    <w:rPr>
      <w:rFonts w:ascii="Courier New" w:hAnsi="Courier New" w:cs="Courier New" w:hint="default"/>
      <w:color w:val="0000FF"/>
      <w:sz w:val="22"/>
      <w:szCs w:val="22"/>
      <w:u w:val="single" w:color="0000FF"/>
    </w:rPr>
  </w:style>
  <w:style w:type="paragraph" w:customStyle="1" w:styleId="pedit">
    <w:name w:val="p_edit"/>
    <w:basedOn w:val="Standard"/>
    <w:uiPriority w:val="99"/>
    <w:semiHidden/>
    <w:rsid w:val="00FA54E9"/>
    <w:pPr>
      <w:spacing w:before="100" w:beforeAutospacing="1" w:after="100" w:afterAutospacing="1"/>
      <w:jc w:val="left"/>
    </w:pPr>
    <w:rPr>
      <w:rFonts w:ascii="Times New Roman" w:hAnsi="Times New Roman"/>
      <w:sz w:val="24"/>
      <w:szCs w:val="24"/>
    </w:rPr>
  </w:style>
  <w:style w:type="character" w:customStyle="1" w:styleId="FuzeileZchn">
    <w:name w:val="Fußzeile Zchn"/>
    <w:basedOn w:val="Absatz-Standardschriftart"/>
    <w:link w:val="Fuzeile"/>
    <w:uiPriority w:val="99"/>
    <w:rsid w:val="00BA2CCD"/>
    <w:rPr>
      <w:rFonts w:ascii="Open Sans" w:hAnsi="Open Sans"/>
    </w:rPr>
  </w:style>
  <w:style w:type="character" w:customStyle="1" w:styleId="berschrift2Zchn">
    <w:name w:val="Überschrift 2 Zchn"/>
    <w:basedOn w:val="Absatz-Standardschriftart"/>
    <w:link w:val="berschrift2"/>
    <w:semiHidden/>
    <w:rsid w:val="00996BA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0635">
      <w:bodyDiv w:val="1"/>
      <w:marLeft w:val="0"/>
      <w:marRight w:val="0"/>
      <w:marTop w:val="0"/>
      <w:marBottom w:val="0"/>
      <w:divBdr>
        <w:top w:val="none" w:sz="0" w:space="0" w:color="auto"/>
        <w:left w:val="none" w:sz="0" w:space="0" w:color="auto"/>
        <w:bottom w:val="none" w:sz="0" w:space="0" w:color="auto"/>
        <w:right w:val="none" w:sz="0" w:space="0" w:color="auto"/>
      </w:divBdr>
    </w:div>
    <w:div w:id="141772531">
      <w:bodyDiv w:val="1"/>
      <w:marLeft w:val="0"/>
      <w:marRight w:val="0"/>
      <w:marTop w:val="0"/>
      <w:marBottom w:val="0"/>
      <w:divBdr>
        <w:top w:val="none" w:sz="0" w:space="0" w:color="auto"/>
        <w:left w:val="none" w:sz="0" w:space="0" w:color="auto"/>
        <w:bottom w:val="none" w:sz="0" w:space="0" w:color="auto"/>
        <w:right w:val="none" w:sz="0" w:space="0" w:color="auto"/>
      </w:divBdr>
    </w:div>
    <w:div w:id="319386578">
      <w:bodyDiv w:val="1"/>
      <w:marLeft w:val="0"/>
      <w:marRight w:val="0"/>
      <w:marTop w:val="0"/>
      <w:marBottom w:val="0"/>
      <w:divBdr>
        <w:top w:val="none" w:sz="0" w:space="0" w:color="auto"/>
        <w:left w:val="none" w:sz="0" w:space="0" w:color="auto"/>
        <w:bottom w:val="none" w:sz="0" w:space="0" w:color="auto"/>
        <w:right w:val="none" w:sz="0" w:space="0" w:color="auto"/>
      </w:divBdr>
    </w:div>
    <w:div w:id="603539765">
      <w:bodyDiv w:val="1"/>
      <w:marLeft w:val="0"/>
      <w:marRight w:val="0"/>
      <w:marTop w:val="0"/>
      <w:marBottom w:val="0"/>
      <w:divBdr>
        <w:top w:val="none" w:sz="0" w:space="0" w:color="auto"/>
        <w:left w:val="none" w:sz="0" w:space="0" w:color="auto"/>
        <w:bottom w:val="none" w:sz="0" w:space="0" w:color="auto"/>
        <w:right w:val="none" w:sz="0" w:space="0" w:color="auto"/>
      </w:divBdr>
    </w:div>
    <w:div w:id="816461169">
      <w:bodyDiv w:val="1"/>
      <w:marLeft w:val="0"/>
      <w:marRight w:val="0"/>
      <w:marTop w:val="0"/>
      <w:marBottom w:val="0"/>
      <w:divBdr>
        <w:top w:val="none" w:sz="0" w:space="0" w:color="auto"/>
        <w:left w:val="none" w:sz="0" w:space="0" w:color="auto"/>
        <w:bottom w:val="none" w:sz="0" w:space="0" w:color="auto"/>
        <w:right w:val="none" w:sz="0" w:space="0" w:color="auto"/>
      </w:divBdr>
    </w:div>
    <w:div w:id="11857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weinhofer@wien.creditreform.a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reform.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DOC\Briefformular%20mit%20Adresse%20Wien%20allgemei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F09D-5A55-416C-B656-8956942E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Briefformular mit Adresse Wien allgemein.dot</Template>
  <TotalTime>0</TotalTime>
  <Pages>3</Pages>
  <Words>863</Words>
  <Characters>6027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Bitte hier klicken um den Namen einzugeben</vt:lpstr>
    </vt:vector>
  </TitlesOfParts>
  <Company>VVC Neuss</Company>
  <LinksUpToDate>false</LinksUpToDate>
  <CharactersWithSpaces>6877</CharactersWithSpaces>
  <SharedDoc>false</SharedDoc>
  <HLinks>
    <vt:vector size="12" baseType="variant">
      <vt:variant>
        <vt:i4>7864372</vt:i4>
      </vt:variant>
      <vt:variant>
        <vt:i4>3</vt:i4>
      </vt:variant>
      <vt:variant>
        <vt:i4>0</vt:i4>
      </vt:variant>
      <vt:variant>
        <vt:i4>5</vt:i4>
      </vt:variant>
      <vt:variant>
        <vt:lpwstr>http://www.creditreform.at/</vt:lpwstr>
      </vt:variant>
      <vt:variant>
        <vt:lpwstr/>
      </vt:variant>
      <vt:variant>
        <vt:i4>4128773</vt:i4>
      </vt:variant>
      <vt:variant>
        <vt:i4>0</vt:i4>
      </vt:variant>
      <vt:variant>
        <vt:i4>0</vt:i4>
      </vt:variant>
      <vt:variant>
        <vt:i4>5</vt:i4>
      </vt:variant>
      <vt:variant>
        <vt:lpwstr>mailto:g.weinhofer@wien.creditreform.at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hier klicken um den Namen einzugeben</dc:title>
  <dc:creator>CREFOS</dc:creator>
  <cp:lastModifiedBy>Weinhofer, Gerhard</cp:lastModifiedBy>
  <cp:revision>6</cp:revision>
  <cp:lastPrinted>2022-11-16T10:56:00Z</cp:lastPrinted>
  <dcterms:created xsi:type="dcterms:W3CDTF">2024-12-17T13:18:00Z</dcterms:created>
  <dcterms:modified xsi:type="dcterms:W3CDTF">2024-12-17T13:47:00Z</dcterms:modified>
</cp:coreProperties>
</file>